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10.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ПЕРЕВОЗКИ ГРУЗОВ БОЛЬШОЙ МАССЫ И НЕГАБАРИТНЫХ ГРУЗОВ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План лекции: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10.1 Негабаритные и тяжеловесные грузы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10.2 Основные правила перевозки КГТ грузов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10.3 Перевозки железобетонных изделий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666666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10.1 Негабаритные и тяжеловесные грузы.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Порядок организации перевозок автомобильным транспортом крупногабаритных и тяжеловесных грузов (КГТ) по дорогам общего пользования, а также улицам городов и населенных пунктов оп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ределяется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Инструкцией по перевозке крупногабаритных и тяжело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softHyphen/>
        <w:t>весных грузов автомобильным транспортом по дорогам РК.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 грузами большой массы в данном случае имеются в виду неделимые грузы, достигающие зна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чительной массы (200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Т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более). К ним можно отнести трансформа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торы, рабочие колеса и лопасти турбин, газгольдеры, атомные реак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торы, блоки обжиговых печей, стан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ки, котлы, корпуса судов и т. п., которые в готовом виде доставляют с заводов-изготовителей на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.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объекты.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определения условий перевозки необходимо определить, относится ли данная перевозка к перевозке крупногабаритных или тяжеловесных грузов и к какой категории АТС будет отнесена дан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ная перевозка.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Категории АТС, перевозящих КГТ грузы: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-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категории 1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относятся автотранспортные средства, которые в зависимости от осевых масс подразделяются на две группы: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группа</w:t>
      </w:r>
      <w:proofErr w:type="gram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А</w:t>
      </w:r>
      <w:proofErr w:type="gramEnd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—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АТС с осевыми массами наиболее нагруженной оси свыше 6 до 10 т включительно, предназначенные для эксплуата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ции на дорогах I—III категории, а также на дорогах IV категории, одежды которых построены или усилены под осевую массу 10т;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группа</w:t>
      </w:r>
      <w:proofErr w:type="gram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Б</w:t>
      </w:r>
      <w:proofErr w:type="gramEnd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—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АТС с осевыми массами наиболее нагруженной оси до 6 т включительно, предназначенные для эксплуатации на всех дорогах.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Осевые нагрузки АТС,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превышении которых оно относится к категории 1, перечислены в табл. 10.1 и 10.2. Таблица 10.1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0</wp:posOffset>
            </wp:positionH>
            <wp:positionV relativeFrom="line">
              <wp:posOffset>34290</wp:posOffset>
            </wp:positionV>
            <wp:extent cx="5162550" cy="2171700"/>
            <wp:effectExtent l="19050" t="0" r="0" b="0"/>
            <wp:wrapSquare wrapText="bothSides"/>
            <wp:docPr id="2" name="Рисунок 4" descr="http://gendocs.ru/docs/10/9533/conv_1/file1_html_m320217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gendocs.ru/docs/10/9533/conv_1/file1_html_m3202170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17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4CD8" w:rsidRDefault="00804CD8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Таблица 10.2 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posOffset>234315</wp:posOffset>
            </wp:positionH>
            <wp:positionV relativeFrom="line">
              <wp:posOffset>73660</wp:posOffset>
            </wp:positionV>
            <wp:extent cx="5172075" cy="2095500"/>
            <wp:effectExtent l="19050" t="0" r="9525" b="0"/>
            <wp:wrapSquare wrapText="bothSides"/>
            <wp:docPr id="4" name="Рисунок 5" descr="http://gendocs.ru/docs/10/9533/conv_1/file1_html_m6d052a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gendocs.ru/docs/10/9533/conv_1/file1_html_m6d052a7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условиях городской застройки допустимая нагрузка на ось, указанная в табл. 10.1 и 10.2 для дорог I — III категорий, относится к магистральным дорогам и улицам, а также дорогам и улицам в научно-производственных, промышленных и коммунально-склад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ских зонах (районах). Допустимая нагрузка, указанная для дорог IV в условиях городской застройки относится к улицам в жилой застройке, проездам и парковым дорогам.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Полная масса АТС не должна превышать значений, приведенных в табл. 10.3. Для одиночных автомобилей (тягачей) не допускается превышение полной массы более 30 т. Промежуточные значения параметров следует определять путем линейной интерполяции.</w:t>
      </w: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E637C5" w:rsidRPr="002F6264" w:rsidRDefault="00E637C5" w:rsidP="00E637C5">
      <w:pPr>
        <w:spacing w:after="0" w:line="240" w:lineRule="auto"/>
        <w:ind w:right="-5" w:firstLine="720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Таблица 10.3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-52070</wp:posOffset>
            </wp:positionH>
            <wp:positionV relativeFrom="line">
              <wp:posOffset>67310</wp:posOffset>
            </wp:positionV>
            <wp:extent cx="5457825" cy="3398520"/>
            <wp:effectExtent l="19050" t="0" r="9525" b="0"/>
            <wp:wrapSquare wrapText="bothSides"/>
            <wp:docPr id="3" name="Рисунок 6" descr="http://gendocs.ru/docs/10/9533/conv_1/file1_html_745f1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gendocs.ru/docs/10/9533/conv_1/file1_html_745f1e5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39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Габариты таких грузов достигают 6—7м по высоте, 40—50 м по длине и 5—7 м по ширине.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Для перевозки грузов массой до 40 т применяют автомобили-тягачи с полуприцепами и прицепами-тяжеловозами. Полуприцепы 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прицепы-тяжеловрзы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имеют низко расположенную прочную раму, погрузочная высота у них составляет 800—1300 мм. Наличие такой рамы обеспечивает надежную устойчивость автопоезда во время движения и удобную погрузку и разгрузку.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Полуприцепы и прицепы-тяжеловозы грузоподъемностью свыше 15 т имеют сзади две оси, на каждой из которых располагается до восьми колес. Чтобы не увеличивать погрузочной высоты платформы, задние колеса имеют сравнительно небольшой размер Некоторые конструкции прицепов и полуприцепов в задней части имеют домкратное устройство, позволяющее вперед погрузкой поднять заднюю часть рамы, откатить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.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заднюю тележку, опустить раму на землю, погрузить груз,- вновь поднять раму, подкатить тележку и опустить раму на тележку. Прицепы и полуприцепы-тяжеловозы для удобства погрузки-разгрузки различных самоходных машин (бульдозеров, дорожных катков и др.) оборудуют съемными или откидными подмостями.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Передние колеса прицепов и полуприцепов имеют значительный диаметр, число их равно двум или четырем, что обеспечивает свободный поворот передней тележки.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автомобилях, прицепах и полуприцепах-тяжеловозах устанавливают для облегчения ПРР различное дополнительное оборудование: ручные и механические лебедки, вороты, шпили и т.д.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10.2 Основные правила перевозки КГТ грузов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Перевозка грузов массой более 40 т и негабаритных грузов представляет собой сложный транспортный процесс, требующий проведения ряда мероприятий как в период подготовки к перевозке» так и во время её выполнения. Необходимо решить две задачи: выбрать подвижной состав и организовать погрузку, перевозку и разгрузку груза.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Грузоотправитель, предъявляющий негабаритный груз, обязан за 20 дней до перевозки представить эскиз или чертеж с указа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нием габаритных размеров груза и расчетами прочности крепления и устойчивости груза на платформе автомобиля. При рассмотрении этого чертежа на АТО для максимального снижения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негабаритности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необходимо определить: наилучшее расположение груза на платформе (горизонтальной, вертикальное или повернутое на определенный угол вокруг оси); возможно снятия выступающих частей груза или изменения его упаковки; возможность замены боковой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негабаритности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верхнюю.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перевозку таких грузов тре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буется разрешение УДП (форма 6), для получения которого необходимо представить разработанный маршрут следования. При выборе маршрута, разработке которого должно предшествовать тщательное изучение дорожно-транспортной обстановки на предполагаемом пути следования, необходимо учитывать следующие факторы: ограничения в проезде по мостам, под мостами, в тоннелях, под контактными сетями городского и железнодорожного электрического транспорта; дорожные условия (наличие подъемов, спусков, закруглений с малыми радиусами и т. п.); необходимость осуществления перевозок в крупных городах в ночное время с 0 до 6 ч; согласование времени движения через железнодорожные переезды с соответствующими подразделениями железных дорог и т.д.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Для осуществления перевозок негабаритных грузов и грузов большой массы могут создаваться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автоотряды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(автоколонны), состоящие из автомобилей-тягачей и автомобилей-толкачей, передвижной автомастерской, автомобиля-заправщика и т. д. График движения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автоотрядов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устанавливают с учетом состояния дорог, климатических и сезонных условий, интенсивности движения и т. д.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Для приема груза от грузоотправителя и проверки правильности размещения и закрепления груза на платформе создают комиссию в составе начальника (старшего инженера) отдела эксплуатации АТО, начальника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автоотряда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инженера по безопасности движения, водителя и представителя грузоотправителя.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транспортировании грузы или их отдельные части, выступающие по длине или ширине за габаритные размеры подвижного со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става, должны быть спереди и сзади обозначены красными флажками, а ночью при видимости менее 20 м — зажженными фонарями.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На крутых спусках и подъемах необходимо использовать второй автомобиль, осуществляющий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притормаживание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или буксирование. Перевозка таких грузов во время гололедицы или других неблагоприятных погодных условиях запрещена.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Нормы времени на погрузку-разгрузку, выполнение дополнительных работ, такелажных операций, а также стоимость перевозки устанавливают по согласованию сторон.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Разрешения на перевозку крупногабаритных и тяжеловесных грузов категории 1 выдаются в течение 10 дней, а для грузов кате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гории 2 до 30 дней со дня регистрации заявления, при условии предъявления заявителем копии платежного поручения, подтверждающего оплату за ущерб, наносимый дорогам и дорожным со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оружениям транспортными средствами.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Перевозка крупногабаритных и тяжеловесных грузов категории 2 по населенным пунктам осуществляется в период наименьшей интенсивности движения, а вне населенных пунктов в светлое время суток. В темное время суток по дорогам вне населенных пунктов, а также при интенсивном движении в светлое время суток перевозка допускается только при условии сопровождения груза.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согласовании разрешения на перевозку груза УДП определяет необходимость и вид сопровождения. Сопровождение может осуществляться автомобилем прикрытия и (или) тягачом или патрульным автомобилем УДП. Сопровождение автомобилем прикрытия обязательно во всех следующих случаях: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ширина транспортного средства с грузом превышает 3,5 м;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длина автопоезда более 24 м;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• в других случаях, когда в разрешении в графе «Особые условия движения» записано, что движение через какое-либо искусственное сооружение разрешается в одиночном порядке, либо указаны другие условия, требующие оперативного изменения организации движения на маршруте перевозки груза.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Автомобиль (автомобили) прикрытия, а также тягачи (в зависимости от перевозимого груза и дорожных условий) выделяются перевозчиком груза или грузоотправителем. В качестве автомобиля прикрытия используется автомобиль с проблесковым маячком оранжевого или желтого цвета. 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Автомобиль прикрытия должен двигаться впереди на расстоянии 10...20 м уступом с левой стороны по отношению к сопровождаемому транспортному средству, перевозящему крупногабаритный и тяжеловесный груз, т. е. таким образом, чтобы его габарит по ширине выступал за габарит сопровождаемого транспортного средства. При проезде по мостовым сооружениям движение автомобиля прикрытия (дистанция, положение на мосту и т.п.) осуществляется в соответствии с со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гласованной схемой.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Сопровождение патрульным автомобилем УДП необходимо в следующих случаях: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ширина транспортного средства превышает 4,0 м;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длина автопоезда превышает 30,0 м;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транспортное средство при движении вынуждено хотя бы ча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стично занимать полосу встречного движения;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в процессе перевозки предполагается необходимость опера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тивного изменения организации движения для обеспечения безопасности проезда;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• груз относится к категории 2.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иных случаях необходимость сопровождения определяется УДП исходя из дорожных условий, интенсивности движения и состава транспортного потока. Сопровождение патрульным автомобилем УДП осуществляется на договорной основе.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Скорость движения во время перевозки КГТ грузов устанавливается УДП с учетом требований других организаций, согласовавших перевозку. Скорость движения по дорогам не должна превышать 60 км/ч, а по мостовым сооружениям — 15 км/ч. При этом разрешенный режим движения может иметь переменный характер на различных участках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маршрута.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 время перевозки КГТ груза запрещается: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отклоняться от установленного маршрута;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превышать указанную в разрешении скорость движения;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-осуществлять движение во время гололеда, а также при видимости менее 100 м;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двигаться по обочине дороги, если такой порядок не определен условиями перевозки;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10.3 Перевозки железобетонных изделий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нашей стране в связи с индуст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риализацией строительства строи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тельные площадки превратились в монтажные, на которых из крупноразмерных железобетонных деталей (панелей, ферм, плит перекрытий и других деталей и конструкций) осу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ществляется сборка зданий, промышленных и гражданских сооружений.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Поэтому железобетон стал основным строительным материалом.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 условиям перевозок все железобетонные изделия и конструкции можно подразделить на следующие основные группы:</w:t>
      </w:r>
    </w:p>
    <w:p w:rsidR="00E637C5" w:rsidRPr="002F6264" w:rsidRDefault="00E637C5" w:rsidP="00E637C5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детали и конструкции небольших размеров, перевозка которых осу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ществляется на бортовых автомо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билях и бортовых автопоездах в сос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таве автомобилей-тягачей и полу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прицепов;</w:t>
      </w:r>
    </w:p>
    <w:p w:rsidR="00E637C5" w:rsidRPr="002F6264" w:rsidRDefault="00E637C5" w:rsidP="00E637C5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фермы и балки, для перевозки которых используют автопоезда большой грузоподъемности в составе автомобилей-тягачей с полуприце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пами и прицепами-роспусками;</w:t>
      </w:r>
    </w:p>
    <w:p w:rsidR="00E637C5" w:rsidRPr="002F6264" w:rsidRDefault="00E637C5" w:rsidP="00E637C5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стеновые панели и перегородки, которые перевозят на специализиро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ванных автопоездах-панелевозах;</w:t>
      </w:r>
    </w:p>
    <w:p w:rsidR="00E637C5" w:rsidRPr="002F6264" w:rsidRDefault="00E637C5" w:rsidP="00E637C5">
      <w:pPr>
        <w:numPr>
          <w:ilvl w:val="0"/>
          <w:numId w:val="1"/>
        </w:numPr>
        <w:spacing w:before="100" w:beforeAutospacing="1" w:after="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объемные элементы (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блок-секций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сантехкабины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), которые перевозят на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специализированных автопоездах в составе автомобилей-тягачей с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низкорамными полуприцепами, имеющими платформы с большими платформы с большими площадками.</w:t>
      </w:r>
      <w:proofErr w:type="gramEnd"/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Железобетонные фермы и балки широко применяются в строительстве промышленных зданий и сооружений. Длина их достигает 30 м и более. Для их перевозки используют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автопоезда-балковозы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фермовозы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автотягачи с прицепами-роспусками, полуприцепами, имеющими кассеты для разме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щения ферм.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При крупнопанельном строительстве значительный удельный вес в перевозках железобетонных деталей и конструкций занимают перевозки панелей.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Каждый тип панелей отличается от другого по прочности, степени готовности (облицованные и необлицованные, с оконными переплетами и без них, с выступающим подоконником и без него), массе и габаритным размерам.</w:t>
      </w:r>
      <w:proofErr w:type="gramEnd"/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перевозке панелей необхо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димо соблюдать следующие основные условия: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панели должны быть установлены на подвижном составе вертикально или наклонно (под углом 8—12º к вертикали)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во избе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жание поломок панели должны быть надежно закреплены;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перевозке облицованных панелей нужно исключить возможность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их трения между собой.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перевозки панелей используют автопоезда-панелевозы в соста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ве автомобилей-тягачей и полупри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цепов, имеющих следующие кон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структивные схемы.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Хребтовые панелевозы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имеют пространственную несущую ферму с поперечным сечением прямоугольной или трапециевидной формы, расположенную вдоль продольной оси полуприцепа. Панели при пер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е-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возке размещаются по обе стороны несущей фермы под углом 8—12° к вертикали.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lastRenderedPageBreak/>
        <w:t>Ферменные панелевозы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имеют кассету для размещения панелей, а -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рамные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—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св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арную раму, на которой вертикально закреплена кассета.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Панелевозы с трубчатой рамой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имеют центрально расположенную стальную трубу, к которой приварена двухсекционная кассета для размещения панелей.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При погрузке, перевозке и выгрузке железобетонных изделий и конструкций, являющихся грузами большой массы, а в некоторые случаях и негабаритными, должны быть обеспечены соответствующие меры безопасности. 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Так, подвижной состав, перевозящий негабаритные изделия и кон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трукции, долже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быть оборудован устройствами, предохраняющими его от возможн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го продольного и поперечного смещения или опрокидывания груза. Погрузку-разгрузку следует осуществлять только при помощи механизмов и приспособлений, предусмотренных условиями выполнения погрузочно-разгрузочных работ с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данном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грузом.</w:t>
      </w:r>
    </w:p>
    <w:p w:rsidR="00E637C5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 время погрузочно-разгрузочных работ водителю запрещается находиться в кабине автомобиля, а крановщику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перемещать груз над кабиной. Укладка груза в кузов должна обеспечивать равномерную передачу нагрузки на рессоры подвижного состава, зазоры между грузом и бортами (ограждениями) кузова должны быть не менее 6-8 см. Между изделиями или ко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струкциями обязательно должны помещаться деревянные прокладки толщиной не менее 25 мм. </w:t>
      </w:r>
    </w:p>
    <w:p w:rsidR="00E637C5" w:rsidRPr="002F6264" w:rsidRDefault="00E637C5" w:rsidP="00E637C5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При перевозке железобетонных конструкций часто используется метод «монтажа с колес», который обеспечивает большую народнохозяйственную эффективность, так как сокращаются продолжительность монтажа зданий, объем разгрузочных работ на строительной площадке, расходы по устройству и сооружению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приобъектных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складов на строительной площадке, запасы деталей на стро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тельной площадке.</w:t>
      </w: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E35B5"/>
    <w:multiLevelType w:val="multilevel"/>
    <w:tmpl w:val="3968B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7C5"/>
    <w:rsid w:val="00293D1A"/>
    <w:rsid w:val="00804CD8"/>
    <w:rsid w:val="008E7AC1"/>
    <w:rsid w:val="00AC38AA"/>
    <w:rsid w:val="00D64815"/>
    <w:rsid w:val="00E16EB9"/>
    <w:rsid w:val="00E63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7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2153</Words>
  <Characters>12276</Characters>
  <Application>Microsoft Office Word</Application>
  <DocSecurity>0</DocSecurity>
  <Lines>102</Lines>
  <Paragraphs>28</Paragraphs>
  <ScaleCrop>false</ScaleCrop>
  <Company/>
  <LinksUpToDate>false</LinksUpToDate>
  <CharactersWithSpaces>14401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dcterms:created xsi:type="dcterms:W3CDTF">2016-09-18T06:40:00Z</dcterms:created>
  <dcterms:modified xsi:type="dcterms:W3CDTF">2016-09-18T06:41:00Z</dcterms:modified>
</cp:coreProperties>
</file>